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00" w:lineRule="auto"/>
        <w:jc w:val="cente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Politiereglement betreffende de beperkte snelheidsovertredingen (GAS 5)</w:t>
      </w:r>
    </w:p>
    <w:p w:rsidR="00000000" w:rsidDel="00000000" w:rsidP="00000000" w:rsidRDefault="00000000" w:rsidRPr="00000000" w14:paraId="00000002">
      <w:pPr>
        <w:spacing w:after="0" w:line="30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03">
      <w:pPr>
        <w:pStyle w:val="Heading1"/>
        <w:spacing w:after="0" w:before="0" w:line="300" w:lineRule="auto"/>
        <w:rPr>
          <w:rFonts w:ascii="Verdana" w:cs="Verdana" w:eastAsia="Verdana" w:hAnsi="Verdana"/>
          <w:sz w:val="18"/>
          <w:szCs w:val="18"/>
        </w:rPr>
      </w:pPr>
      <w:bookmarkStart w:colFirst="0" w:colLast="0" w:name="_heading=h.gjdgxs" w:id="0"/>
      <w:bookmarkEnd w:id="0"/>
      <w:r w:rsidDel="00000000" w:rsidR="00000000" w:rsidRPr="00000000">
        <w:rPr>
          <w:rFonts w:ascii="Verdana" w:cs="Verdana" w:eastAsia="Verdana" w:hAnsi="Verdana"/>
          <w:sz w:val="18"/>
          <w:szCs w:val="18"/>
          <w:rtl w:val="0"/>
        </w:rPr>
        <w:t xml:space="preserve">Hoofdstuk 1. Algemene bepalingen</w:t>
      </w:r>
    </w:p>
    <w:p w:rsidR="00000000" w:rsidDel="00000000" w:rsidP="00000000" w:rsidRDefault="00000000" w:rsidRPr="00000000" w14:paraId="00000004">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1. </w:t>
      </w:r>
    </w:p>
    <w:p w:rsidR="00000000" w:rsidDel="00000000" w:rsidP="00000000" w:rsidRDefault="00000000" w:rsidRPr="00000000" w14:paraId="00000005">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Het lokaal bestuur voert krachtens artikel 29 quater van de wet van 16 maart 1968 betreffende de politie over het wegverkeer, verder Wegverkeerswet genoemd, de gemeentelijke administratieve sancties in voor de bestraffing van de beperkte snelheidsovertredingen en past de procedure toe zoals hierin bepaald. </w:t>
      </w:r>
    </w:p>
    <w:p w:rsidR="00000000" w:rsidDel="00000000" w:rsidP="00000000" w:rsidRDefault="00000000" w:rsidRPr="00000000" w14:paraId="00000006">
      <w:pPr>
        <w:pStyle w:val="Heading1"/>
        <w:spacing w:after="0" w:before="0" w:line="300" w:lineRule="auto"/>
        <w:rPr>
          <w:rFonts w:ascii="Verdana" w:cs="Verdana" w:eastAsia="Verdana" w:hAnsi="Verdana"/>
          <w:sz w:val="18"/>
          <w:szCs w:val="18"/>
        </w:rPr>
      </w:pPr>
      <w:bookmarkStart w:colFirst="0" w:colLast="0" w:name="_heading=h.30j0zll" w:id="1"/>
      <w:bookmarkEnd w:id="1"/>
      <w:r w:rsidDel="00000000" w:rsidR="00000000" w:rsidRPr="00000000">
        <w:rPr>
          <w:rtl w:val="0"/>
        </w:rPr>
      </w:r>
    </w:p>
    <w:p w:rsidR="00000000" w:rsidDel="00000000" w:rsidP="00000000" w:rsidRDefault="00000000" w:rsidRPr="00000000" w14:paraId="00000007">
      <w:pPr>
        <w:pStyle w:val="Heading1"/>
        <w:spacing w:after="0" w:before="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Hoofdstuk 2. Toepassingsgebied</w:t>
      </w:r>
    </w:p>
    <w:p w:rsidR="00000000" w:rsidDel="00000000" w:rsidP="00000000" w:rsidRDefault="00000000" w:rsidRPr="00000000" w14:paraId="00000008">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2. </w:t>
      </w:r>
    </w:p>
    <w:p w:rsidR="00000000" w:rsidDel="00000000" w:rsidP="00000000" w:rsidRDefault="00000000" w:rsidRPr="00000000" w14:paraId="00000009">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Op basis van deze politieverordening en conform artikel 29 quater van de Wegverkeerswet kunnen gemeentelijke administratieve sancties opgelegd worden ten aanzien van beperkte snelheidsovertredingen wanneer cumulatief aan volgende voorwaarden is voldaan:</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284" w:right="0" w:hanging="284"/>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Het betreft een snelheidsovertreding waarbij de toegelaten maximumsnelheid met niet meer dan 20 kilometer per uur is overschreden (na correctie met de technische tolerantiemarge);</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284" w:right="0" w:hanging="284"/>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Het betreft een snelheidsovertreding begaan op een plaats waar de snelheid beperkt is tot 30 of 50 kilometer per uur;</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284" w:right="0" w:hanging="284"/>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Het betreft een snelheidsovertreding vastgesteld volgens de voorwaarden, vermeld in artikel 62 van de Wegverkeerswet, met uitzondering van het zesde en achtste lid, met automatisch werkende toestellen, die volledig worden gefinancierd door de lokale overheid;</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284" w:right="0" w:hanging="284"/>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Het betreft een snelheidsovertreding begaan door een meerderjarige natuurlijke persoon of door een rechtspersoon.</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284" w:right="0" w:hanging="284"/>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Het betreft een snelheidsovertreding waarbij niet gelijktijdig een andere overtreding wordt vastgesteld.</w:t>
      </w:r>
    </w:p>
    <w:p w:rsidR="00000000" w:rsidDel="00000000" w:rsidP="00000000" w:rsidRDefault="00000000" w:rsidRPr="00000000" w14:paraId="0000000F">
      <w:pPr>
        <w:pStyle w:val="Heading1"/>
        <w:spacing w:after="0" w:before="0" w:line="300" w:lineRule="auto"/>
        <w:rPr>
          <w:rFonts w:ascii="Verdana" w:cs="Verdana" w:eastAsia="Verdana" w:hAnsi="Verdana"/>
          <w:sz w:val="18"/>
          <w:szCs w:val="18"/>
        </w:rPr>
      </w:pPr>
      <w:bookmarkStart w:colFirst="0" w:colLast="0" w:name="_heading=h.1fob9te" w:id="2"/>
      <w:bookmarkEnd w:id="2"/>
      <w:r w:rsidDel="00000000" w:rsidR="00000000" w:rsidRPr="00000000">
        <w:rPr>
          <w:rtl w:val="0"/>
        </w:rPr>
      </w:r>
    </w:p>
    <w:p w:rsidR="00000000" w:rsidDel="00000000" w:rsidP="00000000" w:rsidRDefault="00000000" w:rsidRPr="00000000" w14:paraId="00000010">
      <w:pPr>
        <w:pStyle w:val="Heading1"/>
        <w:spacing w:after="0" w:before="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Hoofdstuk 3. Administratieve geldboete</w:t>
      </w:r>
    </w:p>
    <w:p w:rsidR="00000000" w:rsidDel="00000000" w:rsidP="00000000" w:rsidRDefault="00000000" w:rsidRPr="00000000" w14:paraId="00000011">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3. </w:t>
      </w:r>
    </w:p>
    <w:p w:rsidR="00000000" w:rsidDel="00000000" w:rsidP="00000000" w:rsidRDefault="00000000" w:rsidRPr="00000000" w14:paraId="00000012">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 De sanctionerende ambtenaar kan overeenkomstig dit reglement bij wijze van administratieve sanctie overgaan tot het opleggen van een administratieve geldboete voor de beperkte snelheidsovertredingen.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§2. De bedragen van de administratieve geldboetes die van toepassing zijn op de beperkte snelheidsovertredingen zijn gelijk aan de bedragen die de Vlaamse Regering bepaalt ter uitvoering van artikel 65, § 1, tweede lid van de Wegverkeerswet.</w:t>
      </w:r>
    </w:p>
    <w:p w:rsidR="00000000" w:rsidDel="00000000" w:rsidP="00000000" w:rsidRDefault="00000000" w:rsidRPr="00000000" w14:paraId="00000014">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 De administratieve geldboete wordt betaald op de wijze die in het betalingsverzoek is bepaald.</w:t>
      </w:r>
    </w:p>
    <w:p w:rsidR="00000000" w:rsidDel="00000000" w:rsidP="00000000" w:rsidRDefault="00000000" w:rsidRPr="00000000" w14:paraId="00000015">
      <w:pPr>
        <w:pStyle w:val="Heading1"/>
        <w:spacing w:after="0" w:before="0" w:line="300" w:lineRule="auto"/>
        <w:rPr>
          <w:rFonts w:ascii="Verdana" w:cs="Verdana" w:eastAsia="Verdana" w:hAnsi="Verdana"/>
          <w:sz w:val="18"/>
          <w:szCs w:val="18"/>
        </w:rPr>
      </w:pPr>
      <w:bookmarkStart w:colFirst="0" w:colLast="0" w:name="_heading=h.3znysh7" w:id="3"/>
      <w:bookmarkEnd w:id="3"/>
      <w:r w:rsidDel="00000000" w:rsidR="00000000" w:rsidRPr="00000000">
        <w:rPr>
          <w:rtl w:val="0"/>
        </w:rPr>
      </w:r>
    </w:p>
    <w:p w:rsidR="00000000" w:rsidDel="00000000" w:rsidP="00000000" w:rsidRDefault="00000000" w:rsidRPr="00000000" w14:paraId="00000016">
      <w:pPr>
        <w:pStyle w:val="Heading1"/>
        <w:spacing w:after="0" w:before="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Hoofdstuk 4. Administratieve procedure</w:t>
      </w:r>
    </w:p>
    <w:p w:rsidR="00000000" w:rsidDel="00000000" w:rsidP="00000000" w:rsidRDefault="00000000" w:rsidRPr="00000000" w14:paraId="00000017">
      <w:pPr>
        <w:pStyle w:val="Heading2"/>
        <w:spacing w:after="0" w:before="0" w:line="300" w:lineRule="auto"/>
        <w:rPr>
          <w:rFonts w:ascii="Verdana" w:cs="Verdana" w:eastAsia="Verdana" w:hAnsi="Verdana"/>
          <w:sz w:val="18"/>
          <w:szCs w:val="18"/>
        </w:rPr>
      </w:pPr>
      <w:bookmarkStart w:colFirst="0" w:colLast="0" w:name="_heading=h.2et92p0" w:id="4"/>
      <w:bookmarkEnd w:id="4"/>
      <w:r w:rsidDel="00000000" w:rsidR="00000000" w:rsidRPr="00000000">
        <w:rPr>
          <w:rFonts w:ascii="Verdana" w:cs="Verdana" w:eastAsia="Verdana" w:hAnsi="Verdana"/>
          <w:sz w:val="18"/>
          <w:szCs w:val="18"/>
          <w:rtl w:val="0"/>
        </w:rPr>
        <w:t xml:space="preserve"> Afdeling 1. Verloop procedure </w:t>
      </w:r>
    </w:p>
    <w:p w:rsidR="00000000" w:rsidDel="00000000" w:rsidP="00000000" w:rsidRDefault="00000000" w:rsidRPr="00000000" w14:paraId="00000018">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4. </w:t>
      </w:r>
    </w:p>
    <w:p w:rsidR="00000000" w:rsidDel="00000000" w:rsidP="00000000" w:rsidRDefault="00000000" w:rsidRPr="00000000" w14:paraId="00000019">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 vaststeller bezorgt zijn proces-verbaal binnen de 14 dagen na vaststelling van de overtreding aan de sanctionerend ambtenaar.</w:t>
      </w:r>
    </w:p>
    <w:p w:rsidR="00000000" w:rsidDel="00000000" w:rsidP="00000000" w:rsidRDefault="00000000" w:rsidRPr="00000000" w14:paraId="0000001A">
      <w:pPr>
        <w:spacing w:after="0" w:line="30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1B">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5. </w:t>
      </w:r>
    </w:p>
    <w:p w:rsidR="00000000" w:rsidDel="00000000" w:rsidP="00000000" w:rsidRDefault="00000000" w:rsidRPr="00000000" w14:paraId="0000001C">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 sanctionerend ambtenaar bezorgt binnen de 14 dagen na de dag van ontvangst van het proces-verbaal, dit proces-verbaal samen met de vermelding van het bedrag van de administratieve geldboete aan de overtreder.</w:t>
      </w:r>
    </w:p>
    <w:p w:rsidR="00000000" w:rsidDel="00000000" w:rsidP="00000000" w:rsidRDefault="00000000" w:rsidRPr="00000000" w14:paraId="0000001D">
      <w:pPr>
        <w:spacing w:after="0" w:line="30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1E">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6.</w:t>
      </w:r>
    </w:p>
    <w:p w:rsidR="00000000" w:rsidDel="00000000" w:rsidP="00000000" w:rsidRDefault="00000000" w:rsidRPr="00000000" w14:paraId="0000001F">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De overtreder dient de boete te betalen binnen de 30 dagen na kennisgeving van de beslissing van de sanctionerend ambtenaar, tenzij schriftelijk verweer werd ingediend bij de sanctionerend ambtenaar binnen diezelfde 30 dagen.</w:t>
      </w:r>
    </w:p>
    <w:p w:rsidR="00000000" w:rsidDel="00000000" w:rsidP="00000000" w:rsidRDefault="00000000" w:rsidRPr="00000000" w14:paraId="00000020">
      <w:pPr>
        <w:spacing w:after="0" w:line="30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1">
      <w:pPr>
        <w:spacing w:after="0" w:line="30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Art. 7.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 1. Als de sanctionerend ambtenaar de verweermiddelen ontvankelijk en gegrond verklaart, brengt hij de overtreder daarvan op de hoogte bij gewone zending binnen de 30 dagen na ontvangst van de verweermiddelen, met vermelding van de administratieve geldboete die moet worden betaald.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§2. Als de sanctionerend ambtenaar binnen de 30 dagen na de dag waarop hij de verweermiddelen van de overtreder heeft ontvangen, de verweermiddelen van de overtreder niet ontvankelijk en of niet gegrond verklaart, worden die verweermiddelen geacht aanvaard te zijn.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§3. De administratieve geldboete moet betaald worden binnen de 30 dagen na kennisgeving van de beslissing van de sanctionerend ambtenaar zoals voorzien in §1.</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Art. 8. </w:t>
      </w:r>
    </w:p>
    <w:p w:rsidR="00000000" w:rsidDel="00000000" w:rsidP="00000000" w:rsidRDefault="00000000" w:rsidRPr="00000000" w14:paraId="00000028">
      <w:pPr>
        <w:spacing w:after="0" w:line="300" w:lineRule="auto"/>
        <w:rPr>
          <w:rFonts w:ascii="Verdana" w:cs="Verdana" w:eastAsia="Verdana" w:hAnsi="Verdana"/>
          <w:sz w:val="18"/>
          <w:szCs w:val="18"/>
        </w:rPr>
      </w:pPr>
      <w:r w:rsidDel="00000000" w:rsidR="00000000" w:rsidRPr="00000000">
        <w:rPr>
          <w:rFonts w:ascii="Verdana" w:cs="Verdana" w:eastAsia="Verdana" w:hAnsi="Verdana"/>
          <w:color w:val="000000"/>
          <w:sz w:val="18"/>
          <w:szCs w:val="18"/>
          <w:rtl w:val="0"/>
        </w:rPr>
        <w:t xml:space="preserve">De beslissing om een administratieve geldboete op te leggen, heeft uitvoerbare kracht als ze definitief geworden is. De voormelde beslissing is definitief op een van de volgende tijdstippen:</w:t>
        <w:br w:type="textWrapping"/>
        <w:t xml:space="preserve">1° dertig dagen na de kennisgeving van de administratieve geldboete, vermeld in het tweede lid van artikel 29 quater, als er geen beroep is aangetekend;</w:t>
        <w:br w:type="textWrapping"/>
        <w:t xml:space="preserve">2° dertig dagen na de kennisgeving van de beslissing, vermeld in het vierde lid van artikel 29 quater, als er geen beroep is aangetekend.</w:t>
      </w:r>
      <w:r w:rsidDel="00000000" w:rsidR="00000000" w:rsidRPr="00000000">
        <w:rPr>
          <w:rtl w:val="0"/>
        </w:rPr>
      </w:r>
    </w:p>
    <w:p w:rsidR="00000000" w:rsidDel="00000000" w:rsidP="00000000" w:rsidRDefault="00000000" w:rsidRPr="00000000" w14:paraId="00000029">
      <w:pPr>
        <w:spacing w:after="0" w:line="30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A">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9. </w:t>
      </w:r>
    </w:p>
    <w:p w:rsidR="00000000" w:rsidDel="00000000" w:rsidP="00000000" w:rsidRDefault="00000000" w:rsidRPr="00000000" w14:paraId="0000002B">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Als de sanctionerend ambtenaar tijdens de procedure vaststelt dat de voorwaarden om een administratieve geldboete op te leggen niet vervuld zijn, brengt hij de vaststeller van de overtreding daarvan op de hoogte zodat de strafrechtelijke procedure kan worden gevolgd.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D">
      <w:pPr>
        <w:pStyle w:val="Heading2"/>
        <w:spacing w:after="0" w:before="0" w:line="300" w:lineRule="auto"/>
        <w:rPr>
          <w:rFonts w:ascii="Verdana" w:cs="Verdana" w:eastAsia="Verdana" w:hAnsi="Verdana"/>
          <w:sz w:val="18"/>
          <w:szCs w:val="18"/>
        </w:rPr>
      </w:pPr>
      <w:bookmarkStart w:colFirst="0" w:colLast="0" w:name="_heading=h.tyjcwt" w:id="5"/>
      <w:bookmarkEnd w:id="5"/>
      <w:r w:rsidDel="00000000" w:rsidR="00000000" w:rsidRPr="00000000">
        <w:rPr>
          <w:rFonts w:ascii="Verdana" w:cs="Verdana" w:eastAsia="Verdana" w:hAnsi="Verdana"/>
          <w:sz w:val="18"/>
          <w:szCs w:val="18"/>
          <w:rtl w:val="0"/>
        </w:rPr>
        <w:t xml:space="preserve">Afdeling 2. Sanctionerend ambtenaar</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Art. 10.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De sanctionerend ambtenaar, aangesteld door de gemeenteraad, staat in voor en waakt over de verwerking en afhandeling van de dossiers omtrent de beperkte snelheidsovertredingen die het voorwerp uitmaken van voorliggend reglement. De sanctionerend ambtenaar neemt in volledige onafhankelijkheid de beslissingen.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1">
      <w:pPr>
        <w:pStyle w:val="Heading2"/>
        <w:spacing w:after="0" w:before="0" w:line="300" w:lineRule="auto"/>
        <w:rPr>
          <w:rFonts w:ascii="Verdana" w:cs="Verdana" w:eastAsia="Verdana" w:hAnsi="Verdana"/>
          <w:sz w:val="18"/>
          <w:szCs w:val="18"/>
        </w:rPr>
      </w:pPr>
      <w:bookmarkStart w:colFirst="0" w:colLast="0" w:name="_heading=h.3dy6vkm" w:id="6"/>
      <w:bookmarkEnd w:id="6"/>
      <w:r w:rsidDel="00000000" w:rsidR="00000000" w:rsidRPr="00000000">
        <w:rPr>
          <w:rFonts w:ascii="Verdana" w:cs="Verdana" w:eastAsia="Verdana" w:hAnsi="Verdana"/>
          <w:sz w:val="18"/>
          <w:szCs w:val="18"/>
          <w:rtl w:val="0"/>
        </w:rPr>
        <w:t xml:space="preserve">Afdeling 3. Vaststeller</w:t>
      </w:r>
    </w:p>
    <w:p w:rsidR="00000000" w:rsidDel="00000000" w:rsidP="00000000" w:rsidRDefault="00000000" w:rsidRPr="00000000" w14:paraId="00000032">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11. </w:t>
      </w:r>
    </w:p>
    <w:p w:rsidR="00000000" w:rsidDel="00000000" w:rsidP="00000000" w:rsidRDefault="00000000" w:rsidRPr="00000000" w14:paraId="00000033">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De vaststelling van de beperkte snelheidsovertredingen moet gebeuren door de bevoegde personen, vermeld in artikel 3 van het Koninklijk besluit 1 december 1975 houdende algemeen reglement op de politie van het wegverkeer [en van het gebruik van de openbare weg].</w:t>
      </w:r>
    </w:p>
    <w:p w:rsidR="00000000" w:rsidDel="00000000" w:rsidP="00000000" w:rsidRDefault="00000000" w:rsidRPr="00000000" w14:paraId="00000034">
      <w:pPr>
        <w:spacing w:after="0" w:line="300" w:lineRule="auto"/>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5">
      <w:pPr>
        <w:pStyle w:val="Heading2"/>
        <w:spacing w:after="0" w:before="0" w:line="300" w:lineRule="auto"/>
        <w:rPr>
          <w:rFonts w:ascii="Verdana" w:cs="Verdana" w:eastAsia="Verdana" w:hAnsi="Verdana"/>
          <w:sz w:val="18"/>
          <w:szCs w:val="18"/>
        </w:rPr>
      </w:pPr>
      <w:bookmarkStart w:colFirst="0" w:colLast="0" w:name="_heading=h.1t3h5sf" w:id="7"/>
      <w:bookmarkEnd w:id="7"/>
      <w:r w:rsidDel="00000000" w:rsidR="00000000" w:rsidRPr="00000000">
        <w:rPr>
          <w:rFonts w:ascii="Verdana" w:cs="Verdana" w:eastAsia="Verdana" w:hAnsi="Verdana"/>
          <w:sz w:val="18"/>
          <w:szCs w:val="18"/>
          <w:rtl w:val="0"/>
        </w:rPr>
        <w:t xml:space="preserve">Afdeling 4 Beroepsprocedure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Art. 12.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Tegen een beslissing van de sanctionerend ambtenaar waarbij een administratieve geldboete wordt opgelegd, kan de overtreder, binnen een maand na de kennisgeving van de beslissing beroep aantekenen bij de politierechtbank. De politierechtbank oordeelt over de wettelijkheid en de proportionaliteit van de opgelegde administratieve geldboete. Hij kan de opgelegde administratieve geldboete bevestigen of herzien. De beslissing van de politierechtbank is niet vatbaar voor hoger beroep.</w:t>
      </w:r>
    </w:p>
    <w:p w:rsidR="00000000" w:rsidDel="00000000" w:rsidP="00000000" w:rsidRDefault="00000000" w:rsidRPr="00000000" w14:paraId="00000038">
      <w:pPr>
        <w:pStyle w:val="Heading2"/>
        <w:spacing w:after="0" w:before="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Afdeling 5 Identificatie bestuurder van het voertuig</w:t>
      </w:r>
    </w:p>
    <w:p w:rsidR="00000000" w:rsidDel="00000000" w:rsidP="00000000" w:rsidRDefault="00000000" w:rsidRPr="00000000" w14:paraId="00000039">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13.</w:t>
        <w:br w:type="textWrapping"/>
        <w:t xml:space="preserve">Indien de bestuurder bij de vaststelling van de overtreding niet geïdentificeerd werd, zijn de artikel 67 bis en 67ter van de wet van 16 maart 1968 betreffende de politie over het wegverkeer van toepassing. </w:t>
      </w:r>
    </w:p>
    <w:p w:rsidR="00000000" w:rsidDel="00000000" w:rsidP="00000000" w:rsidRDefault="00000000" w:rsidRPr="00000000" w14:paraId="0000003A">
      <w:pPr>
        <w:pStyle w:val="Heading1"/>
        <w:spacing w:after="0" w:before="0" w:line="300" w:lineRule="auto"/>
        <w:rPr>
          <w:rFonts w:ascii="Verdana" w:cs="Verdana" w:eastAsia="Verdana" w:hAnsi="Verdana"/>
          <w:sz w:val="18"/>
          <w:szCs w:val="18"/>
        </w:rPr>
      </w:pPr>
      <w:bookmarkStart w:colFirst="0" w:colLast="0" w:name="_heading=h.4d34og8" w:id="8"/>
      <w:bookmarkEnd w:id="8"/>
      <w:r w:rsidDel="00000000" w:rsidR="00000000" w:rsidRPr="00000000">
        <w:rPr>
          <w:rtl w:val="0"/>
        </w:rPr>
      </w:r>
    </w:p>
    <w:p w:rsidR="00000000" w:rsidDel="00000000" w:rsidP="00000000" w:rsidRDefault="00000000" w:rsidRPr="00000000" w14:paraId="0000003B">
      <w:pPr>
        <w:pStyle w:val="Heading1"/>
        <w:spacing w:after="0" w:before="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Hoofdstuk 5. Inwerkingtreding</w:t>
      </w:r>
    </w:p>
    <w:p w:rsidR="00000000" w:rsidDel="00000000" w:rsidP="00000000" w:rsidRDefault="00000000" w:rsidRPr="00000000" w14:paraId="0000003C">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Art. 14. </w:t>
      </w:r>
    </w:p>
    <w:p w:rsidR="00000000" w:rsidDel="00000000" w:rsidP="00000000" w:rsidRDefault="00000000" w:rsidRPr="00000000" w14:paraId="0000003D">
      <w:pPr>
        <w:spacing w:after="0" w:line="300"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Het politiereglement betreffende de beperkte snelheidsovertredingen treedt in werking op </w:t>
      </w:r>
      <w:r w:rsidDel="00000000" w:rsidR="00000000" w:rsidRPr="00000000">
        <w:rPr>
          <w:rFonts w:ascii="Verdana" w:cs="Verdana" w:eastAsia="Verdana" w:hAnsi="Verdana"/>
          <w:sz w:val="18"/>
          <w:szCs w:val="18"/>
          <w:rtl w:val="0"/>
        </w:rPr>
        <w:t xml:space="preserve">01/01/2023.</w:t>
      </w:r>
    </w:p>
    <w:sectPr>
      <w:pgSz w:h="16838" w:w="11906" w:orient="portrait"/>
      <w:pgMar w:bottom="1116.3779527559075" w:top="708.661417322834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nl-N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ind w:left="0" w:firstLine="0"/>
    </w:pPr>
    <w:rPr>
      <w:rFonts w:ascii="Calibri" w:cs="Calibri" w:eastAsia="Calibri" w:hAnsi="Calibri"/>
      <w:b w:val="1"/>
      <w:sz w:val="26"/>
      <w:szCs w:val="26"/>
    </w:rPr>
  </w:style>
  <w:style w:type="paragraph" w:styleId="Heading2">
    <w:name w:val="heading 2"/>
    <w:basedOn w:val="Normal"/>
    <w:next w:val="Normal"/>
    <w:pPr>
      <w:keepNext w:val="1"/>
      <w:keepLines w:val="1"/>
      <w:spacing w:before="200" w:lineRule="auto"/>
      <w:ind w:left="0" w:firstLine="0"/>
    </w:pPr>
    <w:rPr>
      <w:rFonts w:ascii="Calibri" w:cs="Calibri" w:eastAsia="Calibri" w:hAnsi="Calibri"/>
      <w:b w:val="1"/>
      <w:sz w:val="24"/>
      <w:szCs w:val="24"/>
    </w:rPr>
  </w:style>
  <w:style w:type="paragraph" w:styleId="Heading3">
    <w:name w:val="heading 3"/>
    <w:basedOn w:val="Normal"/>
    <w:next w:val="Normal"/>
    <w:pPr>
      <w:keepNext w:val="1"/>
      <w:keepLines w:val="1"/>
      <w:spacing w:before="200" w:lineRule="auto"/>
      <w:ind w:left="0" w:firstLine="0"/>
    </w:pPr>
    <w:rPr>
      <w:rFonts w:ascii="Calibri" w:cs="Calibri" w:eastAsia="Calibri" w:hAnsi="Calibri"/>
      <w:b w:val="1"/>
    </w:rPr>
  </w:style>
  <w:style w:type="paragraph" w:styleId="Heading4">
    <w:name w:val="heading 4"/>
    <w:basedOn w:val="Normal"/>
    <w:next w:val="Normal"/>
    <w:pPr>
      <w:keepNext w:val="1"/>
      <w:keepLines w:val="1"/>
      <w:spacing w:before="200" w:lineRule="auto"/>
      <w:ind w:left="0" w:firstLine="0"/>
    </w:pPr>
    <w:rPr>
      <w:rFonts w:ascii="Calibri" w:cs="Calibri" w:eastAsia="Calibri" w:hAnsi="Calibri"/>
      <w:b w:val="1"/>
    </w:rPr>
  </w:style>
  <w:style w:type="paragraph" w:styleId="Heading5">
    <w:name w:val="heading 5"/>
    <w:basedOn w:val="Normal"/>
    <w:next w:val="Normal"/>
    <w:pPr>
      <w:keepNext w:val="1"/>
      <w:keepLines w:val="1"/>
      <w:spacing w:before="200" w:lineRule="auto"/>
      <w:ind w:left="0" w:firstLine="0"/>
    </w:pPr>
    <w:rPr>
      <w:rFonts w:ascii="Calibri" w:cs="Calibri" w:eastAsia="Calibri" w:hAnsi="Calibri"/>
      <w:b w:val="1"/>
    </w:rPr>
  </w:style>
  <w:style w:type="paragraph" w:styleId="Heading6">
    <w:name w:val="heading 6"/>
    <w:basedOn w:val="Normal"/>
    <w:next w:val="Normal"/>
    <w:pPr>
      <w:keepNext w:val="1"/>
      <w:keepLines w:val="1"/>
      <w:spacing w:before="200" w:lineRule="auto"/>
      <w:ind w:left="0" w:firstLine="0"/>
    </w:pPr>
    <w:rPr>
      <w:rFonts w:ascii="Calibri" w:cs="Calibri" w:eastAsia="Calibri" w:hAnsi="Calibri"/>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tandaard" w:default="1">
    <w:name w:val="Normal"/>
    <w:qFormat w:val="1"/>
    <w:rsid w:val="00667335"/>
  </w:style>
  <w:style w:type="paragraph" w:styleId="Kop1">
    <w:name w:val="heading 1"/>
    <w:basedOn w:val="Standaard"/>
    <w:next w:val="Standaard"/>
    <w:link w:val="Kop1Char"/>
    <w:uiPriority w:val="9"/>
    <w:qFormat w:val="1"/>
    <w:rsid w:val="00667335"/>
    <w:pPr>
      <w:keepNext w:val="1"/>
      <w:keepLines w:val="1"/>
      <w:numPr>
        <w:numId w:val="1"/>
      </w:numPr>
      <w:spacing w:after="120" w:before="480"/>
      <w:outlineLvl w:val="0"/>
    </w:pPr>
    <w:rPr>
      <w:rFonts w:asciiTheme="majorHAnsi" w:cstheme="majorBidi" w:eastAsiaTheme="majorEastAsia" w:hAnsiTheme="majorHAnsi"/>
      <w:b w:val="1"/>
      <w:bCs w:val="1"/>
      <w:sz w:val="26"/>
      <w:szCs w:val="28"/>
    </w:rPr>
  </w:style>
  <w:style w:type="paragraph" w:styleId="Kop2">
    <w:name w:val="heading 2"/>
    <w:basedOn w:val="Standaard"/>
    <w:next w:val="Standaard"/>
    <w:link w:val="Kop2Char"/>
    <w:uiPriority w:val="9"/>
    <w:unhideWhenUsed w:val="1"/>
    <w:qFormat w:val="1"/>
    <w:rsid w:val="00667335"/>
    <w:pPr>
      <w:keepNext w:val="1"/>
      <w:keepLines w:val="1"/>
      <w:numPr>
        <w:ilvl w:val="1"/>
        <w:numId w:val="1"/>
      </w:numPr>
      <w:spacing w:before="200"/>
      <w:outlineLvl w:val="1"/>
    </w:pPr>
    <w:rPr>
      <w:rFonts w:asciiTheme="majorHAnsi" w:cstheme="majorBidi" w:eastAsiaTheme="majorEastAsia" w:hAnsiTheme="majorHAnsi"/>
      <w:b w:val="1"/>
      <w:bCs w:val="1"/>
      <w:sz w:val="24"/>
      <w:szCs w:val="26"/>
    </w:rPr>
  </w:style>
  <w:style w:type="paragraph" w:styleId="Kop3">
    <w:name w:val="heading 3"/>
    <w:basedOn w:val="Standaard"/>
    <w:next w:val="Standaard"/>
    <w:link w:val="Kop3Char"/>
    <w:unhideWhenUsed w:val="1"/>
    <w:qFormat w:val="1"/>
    <w:rsid w:val="00667335"/>
    <w:pPr>
      <w:keepNext w:val="1"/>
      <w:keepLines w:val="1"/>
      <w:numPr>
        <w:ilvl w:val="2"/>
        <w:numId w:val="1"/>
      </w:numPr>
      <w:spacing w:before="200"/>
      <w:outlineLvl w:val="2"/>
    </w:pPr>
    <w:rPr>
      <w:rFonts w:asciiTheme="majorHAnsi" w:cstheme="majorBidi" w:eastAsiaTheme="majorEastAsia" w:hAnsiTheme="majorHAnsi"/>
      <w:b w:val="1"/>
      <w:bCs w:val="1"/>
    </w:rPr>
  </w:style>
  <w:style w:type="paragraph" w:styleId="Kop4">
    <w:name w:val="heading 4"/>
    <w:basedOn w:val="Standaard"/>
    <w:next w:val="Standaard"/>
    <w:link w:val="Kop4Char"/>
    <w:unhideWhenUsed w:val="1"/>
    <w:rsid w:val="00667335"/>
    <w:pPr>
      <w:keepNext w:val="1"/>
      <w:keepLines w:val="1"/>
      <w:numPr>
        <w:ilvl w:val="3"/>
        <w:numId w:val="1"/>
      </w:numPr>
      <w:spacing w:before="200"/>
      <w:outlineLvl w:val="3"/>
    </w:pPr>
    <w:rPr>
      <w:rFonts w:asciiTheme="majorHAnsi" w:cstheme="majorBidi" w:eastAsiaTheme="majorEastAsia" w:hAnsiTheme="majorHAnsi"/>
      <w:b w:val="1"/>
      <w:bCs w:val="1"/>
      <w:iCs w:val="1"/>
    </w:rPr>
  </w:style>
  <w:style w:type="paragraph" w:styleId="Kop5">
    <w:name w:val="heading 5"/>
    <w:basedOn w:val="Standaard"/>
    <w:next w:val="Standaard"/>
    <w:link w:val="Kop5Char"/>
    <w:unhideWhenUsed w:val="1"/>
    <w:rsid w:val="00667335"/>
    <w:pPr>
      <w:keepNext w:val="1"/>
      <w:keepLines w:val="1"/>
      <w:numPr>
        <w:ilvl w:val="4"/>
        <w:numId w:val="1"/>
      </w:numPr>
      <w:spacing w:before="200"/>
      <w:outlineLvl w:val="4"/>
    </w:pPr>
    <w:rPr>
      <w:rFonts w:asciiTheme="majorHAnsi" w:cstheme="majorBidi" w:eastAsiaTheme="majorEastAsia" w:hAnsiTheme="majorHAnsi"/>
      <w:b w:val="1"/>
    </w:rPr>
  </w:style>
  <w:style w:type="paragraph" w:styleId="Kop6">
    <w:name w:val="heading 6"/>
    <w:basedOn w:val="Standaard"/>
    <w:next w:val="Standaard"/>
    <w:link w:val="Kop6Char"/>
    <w:unhideWhenUsed w:val="1"/>
    <w:rsid w:val="00667335"/>
    <w:pPr>
      <w:keepNext w:val="1"/>
      <w:keepLines w:val="1"/>
      <w:numPr>
        <w:ilvl w:val="5"/>
        <w:numId w:val="1"/>
      </w:numPr>
      <w:spacing w:before="200"/>
      <w:outlineLvl w:val="5"/>
    </w:pPr>
    <w:rPr>
      <w:rFonts w:asciiTheme="majorHAnsi" w:cstheme="majorBidi" w:eastAsiaTheme="majorEastAsia" w:hAnsiTheme="majorHAnsi"/>
      <w:b w:val="1"/>
      <w:iCs w:val="1"/>
    </w:rPr>
  </w:style>
  <w:style w:type="paragraph" w:styleId="Kop7">
    <w:name w:val="heading 7"/>
    <w:basedOn w:val="Standaard"/>
    <w:next w:val="Standaard"/>
    <w:link w:val="Kop7Char"/>
    <w:unhideWhenUsed w:val="1"/>
    <w:rsid w:val="00667335"/>
    <w:pPr>
      <w:keepNext w:val="1"/>
      <w:keepLines w:val="1"/>
      <w:numPr>
        <w:ilvl w:val="6"/>
        <w:numId w:val="1"/>
      </w:numPr>
      <w:spacing w:before="200"/>
      <w:outlineLvl w:val="6"/>
    </w:pPr>
    <w:rPr>
      <w:rFonts w:asciiTheme="majorHAnsi" w:cstheme="majorBidi" w:eastAsiaTheme="majorEastAsia" w:hAnsiTheme="majorHAnsi"/>
      <w:b w:val="1"/>
      <w:iCs w:val="1"/>
    </w:rPr>
  </w:style>
  <w:style w:type="paragraph" w:styleId="Kop8">
    <w:name w:val="heading 8"/>
    <w:basedOn w:val="Standaard"/>
    <w:next w:val="Standaard"/>
    <w:link w:val="Kop8Char"/>
    <w:unhideWhenUsed w:val="1"/>
    <w:rsid w:val="00667335"/>
    <w:pPr>
      <w:keepNext w:val="1"/>
      <w:keepLines w:val="1"/>
      <w:numPr>
        <w:ilvl w:val="7"/>
        <w:numId w:val="1"/>
      </w:numPr>
      <w:spacing w:before="200"/>
      <w:outlineLvl w:val="7"/>
    </w:pPr>
    <w:rPr>
      <w:rFonts w:asciiTheme="majorHAnsi" w:cstheme="majorBidi" w:eastAsiaTheme="majorEastAsia" w:hAnsiTheme="majorHAnsi"/>
      <w:b w:val="1"/>
      <w:szCs w:val="20"/>
    </w:rPr>
  </w:style>
  <w:style w:type="paragraph" w:styleId="Kop9">
    <w:name w:val="heading 9"/>
    <w:basedOn w:val="Standaard"/>
    <w:next w:val="Standaard"/>
    <w:link w:val="Kop9Char"/>
    <w:unhideWhenUsed w:val="1"/>
    <w:rsid w:val="00667335"/>
    <w:pPr>
      <w:keepNext w:val="1"/>
      <w:keepLines w:val="1"/>
      <w:numPr>
        <w:ilvl w:val="8"/>
        <w:numId w:val="1"/>
      </w:numPr>
      <w:spacing w:before="200"/>
      <w:outlineLvl w:val="8"/>
    </w:pPr>
    <w:rPr>
      <w:rFonts w:asciiTheme="majorHAnsi" w:cstheme="majorBidi" w:eastAsiaTheme="majorEastAsia" w:hAnsiTheme="majorHAnsi"/>
      <w:b w:val="1"/>
      <w:iCs w:val="1"/>
      <w:szCs w:val="20"/>
    </w:rPr>
  </w:style>
  <w:style w:type="character" w:styleId="Standaardalinea-lettertype" w:default="1">
    <w:name w:val="Default Paragraph Font"/>
    <w:uiPriority w:val="1"/>
    <w:semiHidden w:val="1"/>
    <w:unhideWhenUsed w:val="1"/>
  </w:style>
  <w:style w:type="table" w:styleId="Standaardtabel" w:default="1">
    <w:name w:val="Normal Table"/>
    <w:uiPriority w:val="99"/>
    <w:semiHidden w:val="1"/>
    <w:unhideWhenUsed w:val="1"/>
    <w:tblPr>
      <w:tblInd w:w="0.0" w:type="dxa"/>
      <w:tblCellMar>
        <w:top w:w="0.0" w:type="dxa"/>
        <w:left w:w="108.0" w:type="dxa"/>
        <w:bottom w:w="0.0" w:type="dxa"/>
        <w:right w:w="108.0" w:type="dxa"/>
      </w:tblCellMar>
    </w:tblPr>
  </w:style>
  <w:style w:type="numbering" w:styleId="Geenlijst" w:default="1">
    <w:name w:val="No List"/>
    <w:uiPriority w:val="99"/>
    <w:semiHidden w:val="1"/>
    <w:unhideWhenUsed w:val="1"/>
  </w:style>
  <w:style w:type="character" w:styleId="Kop1Char" w:customStyle="1">
    <w:name w:val="Kop 1 Char"/>
    <w:basedOn w:val="Standaardalinea-lettertype"/>
    <w:link w:val="Kop1"/>
    <w:uiPriority w:val="9"/>
    <w:rsid w:val="00667335"/>
    <w:rPr>
      <w:rFonts w:asciiTheme="majorHAnsi" w:cstheme="majorBidi" w:eastAsiaTheme="majorEastAsia" w:hAnsiTheme="majorHAnsi"/>
      <w:b w:val="1"/>
      <w:bCs w:val="1"/>
      <w:sz w:val="26"/>
      <w:szCs w:val="28"/>
    </w:rPr>
  </w:style>
  <w:style w:type="character" w:styleId="Kop2Char" w:customStyle="1">
    <w:name w:val="Kop 2 Char"/>
    <w:basedOn w:val="Standaardalinea-lettertype"/>
    <w:link w:val="Kop2"/>
    <w:uiPriority w:val="9"/>
    <w:rsid w:val="00667335"/>
    <w:rPr>
      <w:rFonts w:asciiTheme="majorHAnsi" w:cstheme="majorBidi" w:eastAsiaTheme="majorEastAsia" w:hAnsiTheme="majorHAnsi"/>
      <w:b w:val="1"/>
      <w:bCs w:val="1"/>
      <w:sz w:val="24"/>
      <w:szCs w:val="26"/>
    </w:rPr>
  </w:style>
  <w:style w:type="character" w:styleId="Kop3Char" w:customStyle="1">
    <w:name w:val="Kop 3 Char"/>
    <w:basedOn w:val="Standaardalinea-lettertype"/>
    <w:link w:val="Kop3"/>
    <w:rsid w:val="00667335"/>
    <w:rPr>
      <w:rFonts w:asciiTheme="majorHAnsi" w:cstheme="majorBidi" w:eastAsiaTheme="majorEastAsia" w:hAnsiTheme="majorHAnsi"/>
      <w:b w:val="1"/>
      <w:bCs w:val="1"/>
    </w:rPr>
  </w:style>
  <w:style w:type="character" w:styleId="Kop4Char" w:customStyle="1">
    <w:name w:val="Kop 4 Char"/>
    <w:basedOn w:val="Standaardalinea-lettertype"/>
    <w:link w:val="Kop4"/>
    <w:rsid w:val="00667335"/>
    <w:rPr>
      <w:rFonts w:asciiTheme="majorHAnsi" w:cstheme="majorBidi" w:eastAsiaTheme="majorEastAsia" w:hAnsiTheme="majorHAnsi"/>
      <w:b w:val="1"/>
      <w:bCs w:val="1"/>
      <w:iCs w:val="1"/>
    </w:rPr>
  </w:style>
  <w:style w:type="character" w:styleId="Kop5Char" w:customStyle="1">
    <w:name w:val="Kop 5 Char"/>
    <w:basedOn w:val="Standaardalinea-lettertype"/>
    <w:link w:val="Kop5"/>
    <w:rsid w:val="00667335"/>
    <w:rPr>
      <w:rFonts w:asciiTheme="majorHAnsi" w:cstheme="majorBidi" w:eastAsiaTheme="majorEastAsia" w:hAnsiTheme="majorHAnsi"/>
      <w:b w:val="1"/>
    </w:rPr>
  </w:style>
  <w:style w:type="character" w:styleId="Kop6Char" w:customStyle="1">
    <w:name w:val="Kop 6 Char"/>
    <w:basedOn w:val="Standaardalinea-lettertype"/>
    <w:link w:val="Kop6"/>
    <w:rsid w:val="00667335"/>
    <w:rPr>
      <w:rFonts w:asciiTheme="majorHAnsi" w:cstheme="majorBidi" w:eastAsiaTheme="majorEastAsia" w:hAnsiTheme="majorHAnsi"/>
      <w:b w:val="1"/>
      <w:iCs w:val="1"/>
    </w:rPr>
  </w:style>
  <w:style w:type="character" w:styleId="Kop7Char" w:customStyle="1">
    <w:name w:val="Kop 7 Char"/>
    <w:basedOn w:val="Standaardalinea-lettertype"/>
    <w:link w:val="Kop7"/>
    <w:rsid w:val="00667335"/>
    <w:rPr>
      <w:rFonts w:asciiTheme="majorHAnsi" w:cstheme="majorBidi" w:eastAsiaTheme="majorEastAsia" w:hAnsiTheme="majorHAnsi"/>
      <w:b w:val="1"/>
      <w:iCs w:val="1"/>
    </w:rPr>
  </w:style>
  <w:style w:type="character" w:styleId="Kop8Char" w:customStyle="1">
    <w:name w:val="Kop 8 Char"/>
    <w:basedOn w:val="Standaardalinea-lettertype"/>
    <w:link w:val="Kop8"/>
    <w:rsid w:val="00667335"/>
    <w:rPr>
      <w:rFonts w:asciiTheme="majorHAnsi" w:cstheme="majorBidi" w:eastAsiaTheme="majorEastAsia" w:hAnsiTheme="majorHAnsi"/>
      <w:b w:val="1"/>
      <w:szCs w:val="20"/>
    </w:rPr>
  </w:style>
  <w:style w:type="character" w:styleId="Kop9Char" w:customStyle="1">
    <w:name w:val="Kop 9 Char"/>
    <w:basedOn w:val="Standaardalinea-lettertype"/>
    <w:link w:val="Kop9"/>
    <w:rsid w:val="00667335"/>
    <w:rPr>
      <w:rFonts w:asciiTheme="majorHAnsi" w:cstheme="majorBidi" w:eastAsiaTheme="majorEastAsia" w:hAnsiTheme="majorHAnsi"/>
      <w:b w:val="1"/>
      <w:iCs w:val="1"/>
      <w:szCs w:val="20"/>
    </w:rPr>
  </w:style>
  <w:style w:type="paragraph" w:styleId="paragraph" w:customStyle="1">
    <w:name w:val="paragraph"/>
    <w:basedOn w:val="Standaard"/>
    <w:rsid w:val="00667335"/>
    <w:pPr>
      <w:spacing w:after="100" w:afterAutospacing="1" w:before="100" w:beforeAutospacing="1" w:line="240" w:lineRule="auto"/>
    </w:pPr>
    <w:rPr>
      <w:rFonts w:ascii="Times New Roman" w:cs="Times New Roman" w:eastAsia="Times New Roman" w:hAnsi="Times New Roman"/>
      <w:sz w:val="24"/>
      <w:szCs w:val="24"/>
      <w:lang w:eastAsia="nl-BE"/>
    </w:rPr>
  </w:style>
  <w:style w:type="character" w:styleId="normaltextrun" w:customStyle="1">
    <w:name w:val="normaltextrun"/>
    <w:basedOn w:val="Standaardalinea-lettertype"/>
    <w:rsid w:val="00667335"/>
  </w:style>
  <w:style w:type="character" w:styleId="spellingerror" w:customStyle="1">
    <w:name w:val="spellingerror"/>
    <w:basedOn w:val="Standaardalinea-lettertype"/>
    <w:rsid w:val="00667335"/>
  </w:style>
  <w:style w:type="paragraph" w:styleId="Lijstalinea">
    <w:name w:val="List Paragraph"/>
    <w:basedOn w:val="Standaard"/>
    <w:uiPriority w:val="34"/>
    <w:qFormat w:val="1"/>
    <w:rsid w:val="0066733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bi2gjDnVCltHteRaBWDZPre/Cg==">AMUW2mXVZCqFQGqura5181Z+yZXg+FrP16qqtpfDwhQdlqcFYYG1xokB31iyNDh682byg8+gC5w2cIPwozApzLwYmOYXYBnp+5K7L4X6l0Ecfv0vIoq3hDknGpQlP//NY+RZHhYh1zb6opTPvvGcFNzCVa5lJ5su6bvk2rwBscKtPEj5RBequqUZRPOjYofZEvEKHTgJpaBdDVvZutkdQjwe//gEkRE2sbwQGXlxsh9FC+/1Ieaudw0=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2022-09-01T05:00:00Z</dcterms:created>
  <dc:creator>Lobke Goormans</dc:creator>
</cp:coreProperties>
</file>